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color w:val="ffff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London Borough of Brent Safeguarding Peer Review Self-Assessment</w:t>
      </w:r>
    </w:p>
    <w:p w:rsidR="00000000" w:rsidDel="00000000" w:rsidP="00000000" w:rsidRDefault="00000000" w:rsidRPr="00000000" w14:paraId="00000005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225"/>
        <w:gridCol w:w="4536"/>
        <w:gridCol w:w="2187"/>
        <w:tblGridChange w:id="0">
          <w:tblGrid>
            <w:gridCol w:w="7225"/>
            <w:gridCol w:w="4536"/>
            <w:gridCol w:w="21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 of current position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Actions and progress in place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People at risk of abuse or neglect are safeguarded both in the community and in establishments such as care homes and hospitals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1.2 The council and its partners’ approach to safeguarding clearly has an outcomes based focus.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1.3 Partners demonstrate improved safeguarding outcomes alongside wider community safety improvements.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1.4 People have access to effective criminal, civil or social justice, to resolution and recovery.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 People’s experiences of safeguarding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2.1 Partners have enabled high levels of expressed, positive experiences from people who have used safeguarding arrangements and services.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2.2 Partners have fully engaged people who use services in the design of their services.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2.3 Delivery accords with the public sector Equality Duty.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2.4 Safeguarding is personalised and people are empowered.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 Leadership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3.1 There is a recognised and active leadership to safeguarding adults in each of the statutory partner organisations and others allied to the SAB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3.2 There is joint and coordinated leadership with and by other key partners.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Strategy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4.1 The SAB has a published Strategic Plan which all partners support to deliver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4.2 Safeguarding is embedded in strategies within partner agencies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1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4.3 Partners have a mechanism to deliver the agreed Adult Safeguarding Strategic Plan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 Local Safeguarding Adults Board (SAB)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5.1 The SAB meets its statutory duties as set out in the Care Act Section 43, Schedule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5.2 The Local Authority engages with the work of the Board and encourages staff to engage with the Board.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6. Commissioning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6.1 The Local Authority and the NHS Commission safe and cost-effective services.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6.2 The Local Authority and the NHS have developed mechanisms for people who are organising their own support and services to manage risks and benefits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6.3 Safeguarding is proportionate, balanced, inclusive and appropriate processes and is not used as a substitute to other more appropriate care arrangements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7. Delivery and effective practice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7.1 Partners have robust and effective service delivery that makes safeguarding everybody’s business.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7.2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tl w:val="0"/>
              </w:rPr>
              <w:t xml:space="preserve"> Domestic abuse, hate crime, anti-social behaviour and community cohesion work includes adults needing care and support.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7.3 Safeguarding activity is improving outcomes for people and enables them to reach justice, resolution and recovery.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7.4 Safeguarding is personalised and meets the requirements of law and guidance.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7.5 Clear role for Principal Social Worker (PSW) in relation to quality of frontline practice.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7.6 Individuals and organisations are clear and their roles and responsibilities.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8. Performance and Resource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8.1 Services are clear about their collective responsibilities for safeguarding adults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8.2 Services are held accountable through performance measures, including quality measures for safeguarding activity.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8.3 Services can evidence their delivery improvement through the SAB Delivery Plan.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 Response to cyberattack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9.1 Risks have been mitigated in relation to the cyberattack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9.2 Residents continue to receive quality care from Adult Social Care services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0" w:lineRule="auto"/>
        <w:rPr>
          <w:b w:val="1"/>
          <w:color w:val="ffff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Rule="auto"/>
        <w:rPr>
          <w:b w:val="1"/>
          <w:color w:val="ffff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rPr>
          <w:b w:val="1"/>
          <w:color w:val="ffffff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1906" w:w="16838" w:orient="landscape"/>
      <w:pgMar w:bottom="1440" w:top="1440" w:left="1440" w:right="144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Raynor Griffiths" w:id="0" w:date="2021-09-17T12:03:23Z"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anything we need to add to this</w:t>
      </w:r>
    </w:p>
  </w:comment>
  <w:comment w:author="Raynor Griffiths" w:id="1" w:date="2021-09-17T12:03:51Z"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Possibly work with refugees, modern slavery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E5" w15:done="0"/>
  <w15:commentEx w15:paraId="000000E6" w15:paraIdParent="000000E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412614" cy="8412614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2727260" y="2208693"/>
                        <a:ext cx="5237480" cy="314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DRAFT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412614" cy="8412614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12614" cy="841261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Zero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E3E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3E91"/>
  </w:style>
  <w:style w:type="paragraph" w:styleId="Footer">
    <w:name w:val="footer"/>
    <w:basedOn w:val="Normal"/>
    <w:link w:val="FooterChar"/>
    <w:uiPriority w:val="99"/>
    <w:unhideWhenUsed w:val="1"/>
    <w:rsid w:val="007E3E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3E91"/>
  </w:style>
  <w:style w:type="table" w:styleId="TableGrid">
    <w:name w:val="Table Grid"/>
    <w:basedOn w:val="TableNormal"/>
    <w:uiPriority w:val="39"/>
    <w:rsid w:val="0024634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stTable3-Accent5">
    <w:name w:val="List Table 3 Accent 5"/>
    <w:basedOn w:val="TableNormal"/>
    <w:uiPriority w:val="48"/>
    <w:rsid w:val="0024634F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5" w:val="single"/>
        <w:left w:color="4472c4" w:space="0" w:sz="4" w:themeColor="accent5" w:val="single"/>
        <w:bottom w:color="4472c4" w:space="0" w:sz="4" w:themeColor="accent5" w:val="single"/>
        <w:right w:color="4472c4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472c4" w:themeFill="accent5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472c4" w:space="0" w:sz="4" w:themeColor="accent5" w:val="single"/>
          <w:right w:color="4472c4" w:space="0" w:sz="4" w:themeColor="accent5" w:val="single"/>
        </w:tcBorders>
      </w:tcPr>
    </w:tblStylePr>
    <w:tblStylePr w:type="band1Horz">
      <w:tblPr/>
      <w:tcPr>
        <w:tcBorders>
          <w:top w:color="4472c4" w:space="0" w:sz="4" w:themeColor="accent5" w:val="single"/>
          <w:bottom w:color="4472c4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472c4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4472c4" w:space="0" w:sz="4" w:themeColor="accent5" w:val="double"/>
          <w:right w:space="0" w:sz="0"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24634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5" w:val="clear"/>
      </w:tcPr>
    </w:tblStylePr>
    <w:tblStylePr w:type="band1Vert">
      <w:tblPr/>
      <w:tcPr>
        <w:shd w:color="auto" w:fill="b4c6e7" w:themeFill="accent5" w:themeFillTint="000066" w:val="clear"/>
      </w:tcPr>
    </w:tblStylePr>
    <w:tblStylePr w:type="band1Horz">
      <w:tblPr/>
      <w:tcPr>
        <w:shd w:color="auto" w:fill="b4c6e7" w:themeFill="accent5" w:themeFillTint="000066" w:val="clear"/>
      </w:tcPr>
    </w:tblStylePr>
  </w:style>
  <w:style w:type="paragraph" w:styleId="Default" w:customStyle="1">
    <w:name w:val="Default"/>
    <w:rsid w:val="00A22E3E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22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A22E3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22E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22E3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22E3E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22E3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22E3E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FA61E9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0063B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e2f3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e2f3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R9lbTkhd8FceJGTRk/2+9yQ7XA==">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2019-05-31T12:29:00Z</dcterms:created>
  <dc:creator>Harvey, Raythe</dc:creator>
</cp:coreProperties>
</file>